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附件3：</w:t>
      </w:r>
    </w:p>
    <w:p>
      <w:pPr>
        <w:jc w:val="center"/>
        <w:rPr>
          <w:rFonts w:ascii="黑体" w:hAnsi="黑体" w:eastAsia="黑体" w:cs="Times New Roman"/>
          <w:sz w:val="36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2"/>
        </w:rPr>
        <w:t>医疗收费明细（电子）式样</w:t>
      </w:r>
      <w:bookmarkEnd w:id="0"/>
    </w:p>
    <w:p>
      <w:pPr>
        <w:jc w:val="center"/>
        <w:rPr>
          <w:rFonts w:hint="eastAsia" w:ascii="Calibri" w:hAnsi="Calibri" w:eastAsia="宋体" w:cs="Times New Roman"/>
          <w:szCs w:val="22"/>
          <w:lang w:eastAsia="zh-CN"/>
        </w:rPr>
      </w:pPr>
      <w:r>
        <w:rPr>
          <w:rFonts w:hint="eastAsia" w:ascii="Calibri" w:hAnsi="Calibri" w:eastAsia="宋体" w:cs="Times New Roman"/>
          <w:szCs w:val="22"/>
          <w:lang w:eastAsia="zh-CN"/>
        </w:rPr>
        <w:drawing>
          <wp:inline distT="0" distB="0" distL="114300" distR="114300">
            <wp:extent cx="5268595" cy="6273165"/>
            <wp:effectExtent l="0" t="0" r="8255" b="13335"/>
            <wp:docPr id="1" name="图片 1" descr="医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7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Calibri" w:eastAsia="仿宋_GB2312" w:cs="Times New Roman"/>
          <w:sz w:val="24"/>
          <w:szCs w:val="32"/>
        </w:rPr>
        <w:t xml:space="preserve">    1.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明细要素。包括：所属电子票据代码、所属电子票据号码、交款人、开票日期、项目名称、数量/单位、金额（元）、本页（或自定义）小计、金额合计、备注、收款单位（章）、总页数、当前页数等。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2.字体字号。</w:t>
      </w:r>
      <w:r>
        <w:rPr>
          <w:rFonts w:hint="eastAsia" w:ascii="仿宋_GB2312" w:hAnsi="仿宋" w:eastAsia="仿宋_GB2312" w:cs="宋体"/>
          <w:sz w:val="24"/>
          <w:szCs w:val="22"/>
        </w:rPr>
        <w:t>标题为汉仪中楷，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20.04像素（px），居中</w:t>
      </w:r>
      <w:r>
        <w:rPr>
          <w:rFonts w:hint="eastAsia" w:ascii="仿宋_GB2312" w:hAnsi="仿宋" w:eastAsia="仿宋_GB2312" w:cs="宋体"/>
          <w:sz w:val="24"/>
          <w:szCs w:val="22"/>
        </w:rPr>
        <w:t>；正文字体为汉仪楷体，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10像素（px）。</w:t>
      </w:r>
    </w:p>
    <w:p>
      <w:pPr>
        <w:ind w:firstLine="480" w:firstLineChars="200"/>
        <w:rPr>
          <w:rFonts w:ascii="仿宋_GB2312" w:hAnsi="仿宋" w:eastAsia="仿宋_GB2312" w:cs="宋体"/>
          <w:color w:val="000000"/>
          <w:sz w:val="24"/>
          <w:szCs w:val="22"/>
        </w:rPr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3.规格大小。尺寸：最大为718×1062像素（px），每英寸96像素（px）。换算成打印尺寸为：190mm×281mm。</w:t>
      </w:r>
    </w:p>
    <w:p>
      <w:pPr>
        <w:widowControl/>
        <w:jc w:val="left"/>
      </w:pPr>
      <w:r>
        <w:rPr>
          <w:rFonts w:hint="eastAsia" w:ascii="仿宋_GB2312" w:hAnsi="仿宋" w:eastAsia="仿宋_GB2312" w:cs="宋体"/>
          <w:color w:val="000000"/>
          <w:sz w:val="24"/>
          <w:szCs w:val="22"/>
        </w:rPr>
        <w:t>4.</w:t>
      </w:r>
      <w:r>
        <w:rPr>
          <w:rFonts w:hint="eastAsia" w:ascii="Calibri" w:hAnsi="Calibri" w:eastAsia="宋体" w:cs="Times New Roman"/>
          <w:szCs w:val="22"/>
        </w:rPr>
        <w:t xml:space="preserve"> </w:t>
      </w:r>
      <w:r>
        <w:rPr>
          <w:rFonts w:hint="eastAsia" w:ascii="仿宋_GB2312" w:hAnsi="仿宋" w:eastAsia="仿宋_GB2312" w:cs="宋体"/>
          <w:color w:val="000000"/>
          <w:sz w:val="24"/>
          <w:szCs w:val="22"/>
        </w:rPr>
        <w:t>颜色、套章等要求。文字和表格颜色：棕色。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18082FD4"/>
    <w:rsid w:val="38D95413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2019-06-19T04:01:00Z</dcterms:created>
  <dc:creator>lyun</dc:creator>
  <cp:lastModifiedBy>Administrator</cp:lastModifiedBy>
  <dcterms:modified xsi:type="dcterms:W3CDTF">2019-08-05T08:10:03Z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